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498E" w14:textId="77777777" w:rsidR="00FD2992" w:rsidRDefault="00FD2992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440AB33D" w14:textId="77777777" w:rsidR="00FD2992" w:rsidRDefault="00FD2992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698AFF27" w14:textId="77777777" w:rsidR="00FD2992" w:rsidRPr="00FA0FB7" w:rsidRDefault="00FD2992" w:rsidP="006128A6">
      <w:pPr>
        <w:widowControl w:val="0"/>
        <w:spacing w:line="223" w:lineRule="auto"/>
        <w:ind w:left="270" w:hanging="270"/>
        <w:jc w:val="both"/>
        <w:rPr>
          <w:rFonts w:ascii="Arial" w:hAnsi="Arial" w:cs="Arial"/>
        </w:rPr>
      </w:pPr>
      <w:r w:rsidRPr="00FA0FB7">
        <w:rPr>
          <w:rFonts w:ascii="Arial" w:hAnsi="Arial" w:cs="Arial"/>
        </w:rPr>
        <w:t>THIS ENDORSEMENT CHANGES THE POLICY.  PLEASE READ IT CAREFULLY.</w:t>
      </w:r>
    </w:p>
    <w:p w14:paraId="146B6CC3" w14:textId="77777777" w:rsidR="00FD2992" w:rsidRDefault="00FD2992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78383666" w14:textId="77777777" w:rsidR="00FD2992" w:rsidRDefault="00FD2992" w:rsidP="006128A6">
      <w:pPr>
        <w:widowControl w:val="0"/>
        <w:numPr>
          <w:ilvl w:val="0"/>
          <w:numId w:val="23"/>
        </w:numPr>
        <w:tabs>
          <w:tab w:val="left" w:pos="-1440"/>
        </w:tabs>
        <w:spacing w:line="192" w:lineRule="auto"/>
        <w:ind w:hanging="720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Lenders Loss Payable</w:t>
      </w:r>
    </w:p>
    <w:p w14:paraId="1F8BE4C9" w14:textId="77777777" w:rsidR="00FD2992" w:rsidRDefault="00FD2992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54D4C511" w14:textId="77777777" w:rsidR="00FD2992" w:rsidRDefault="00FD2992" w:rsidP="006128A6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198F30C" w14:textId="77777777" w:rsidR="00FD2992" w:rsidRDefault="00FD2992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3B0CCFA" w14:textId="77777777" w:rsidR="00FD2992" w:rsidRDefault="00FD2992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10B486D0" w14:textId="77777777" w:rsidR="00FD2992" w:rsidRDefault="00FD2992" w:rsidP="00831F25">
      <w:pPr>
        <w:pStyle w:val="Heading3"/>
        <w:spacing w:before="40"/>
        <w:ind w:left="1170" w:right="482" w:hanging="450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6A229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8A49F64" w14:textId="77777777" w:rsidR="00FD2992" w:rsidRDefault="00FD2992" w:rsidP="00831F25">
      <w:pPr>
        <w:widowControl w:val="0"/>
        <w:spacing w:before="40" w:line="192" w:lineRule="auto"/>
        <w:ind w:left="1170" w:right="482" w:hanging="45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6A2299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5E83CA9E" w14:textId="77777777" w:rsidR="00FD2992" w:rsidRDefault="00FD2992" w:rsidP="00831F25">
      <w:pPr>
        <w:pStyle w:val="Heading3"/>
        <w:spacing w:before="40"/>
        <w:ind w:left="1170" w:right="482" w:hanging="450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6A2299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01010304" w14:textId="77777777" w:rsidR="00FD2992" w:rsidRDefault="00FD2992" w:rsidP="0070625F">
      <w:pPr>
        <w:pStyle w:val="Heading4"/>
        <w:ind w:left="1170" w:hanging="450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6A229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1EDD6E59" w14:textId="77777777" w:rsidR="00FD2992" w:rsidRDefault="00FD2992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2FDF0129" w14:textId="77777777" w:rsidR="00A14D5D" w:rsidRDefault="00A14D5D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193C430C" w14:textId="77777777" w:rsidR="00A14D5D" w:rsidRDefault="00A14D5D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37E4E795" w14:textId="77777777" w:rsidR="00FD2992" w:rsidRPr="00A14D5D" w:rsidRDefault="00A14D5D" w:rsidP="00A14D5D">
      <w:pPr>
        <w:spacing w:line="192" w:lineRule="auto"/>
        <w:ind w:left="3903" w:right="-57" w:firstLine="417"/>
        <w:jc w:val="both"/>
        <w:rPr>
          <w:rFonts w:ascii="Arial" w:hAnsi="Arial" w:cs="Arial"/>
          <w:b/>
          <w:sz w:val="24"/>
        </w:rPr>
      </w:pPr>
      <w:r w:rsidRPr="00A14D5D">
        <w:rPr>
          <w:rFonts w:ascii="Arial" w:hAnsi="Arial" w:cs="Arial"/>
          <w:b/>
          <w:sz w:val="24"/>
        </w:rPr>
        <w:t>SCHEDULE</w:t>
      </w:r>
    </w:p>
    <w:p w14:paraId="63951482" w14:textId="77777777" w:rsidR="00A14D5D" w:rsidRDefault="00A14D5D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940AB6C" w14:textId="77777777" w:rsidR="00FD2992" w:rsidRDefault="00FD2992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5343" w:right="-57" w:hanging="504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bCs/>
          <w:sz w:val="24"/>
        </w:rPr>
        <w:t>Description of Property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 w:rsidR="00A14D5D">
        <w:rPr>
          <w:rFonts w:ascii="Arial" w:hAnsi="Arial"/>
          <w:b/>
          <w:bCs/>
          <w:sz w:val="24"/>
        </w:rPr>
        <w:tab/>
      </w:r>
      <w:r w:rsidR="00A14D5D"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>Agreed Value (Optional)</w:t>
      </w:r>
    </w:p>
    <w:p w14:paraId="70FD3329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3CA09F6F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791142C2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63AF9B9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3F8B01C1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52CF10E5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CC7FB7A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bCs/>
          <w:sz w:val="24"/>
        </w:rPr>
        <w:t>Loss Payee</w:t>
      </w:r>
    </w:p>
    <w:p w14:paraId="4F0772CD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(Name &amp; Address)</w:t>
      </w:r>
    </w:p>
    <w:p w14:paraId="6BCC097F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D9543FA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25D8498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8B48C97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18260BC" w14:textId="77777777" w:rsidR="00FD2992" w:rsidRDefault="00FD2992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1C5EB02" w14:textId="77777777" w:rsidR="00FD2992" w:rsidRDefault="00FD2992" w:rsidP="00FA0FB7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70D575FA" w14:textId="77777777" w:rsidR="00FD2992" w:rsidRDefault="00FD2992" w:rsidP="00FA0FB7">
      <w:pPr>
        <w:spacing w:line="192" w:lineRule="auto"/>
        <w:ind w:left="303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following is added to </w:t>
      </w:r>
      <w:r w:rsidRPr="00F756B2">
        <w:rPr>
          <w:rFonts w:ascii="Arial" w:hAnsi="Arial"/>
          <w:b/>
          <w:sz w:val="24"/>
        </w:rPr>
        <w:t>VI.</w:t>
      </w:r>
      <w:r w:rsidR="00A14D5D">
        <w:rPr>
          <w:rFonts w:ascii="Arial" w:hAnsi="Arial"/>
          <w:b/>
          <w:sz w:val="24"/>
        </w:rPr>
        <w:t xml:space="preserve"> </w:t>
      </w:r>
      <w:r w:rsidR="002B3B24" w:rsidRPr="00F756B2">
        <w:rPr>
          <w:rFonts w:ascii="Arial" w:hAnsi="Arial"/>
          <w:b/>
          <w:sz w:val="24"/>
        </w:rPr>
        <w:t xml:space="preserve">PROPERTY CONDITIONS SECTION, </w:t>
      </w:r>
      <w:r w:rsidRPr="00F756B2">
        <w:rPr>
          <w:rFonts w:ascii="Arial" w:hAnsi="Arial"/>
          <w:b/>
          <w:sz w:val="24"/>
        </w:rPr>
        <w:t>O. LOSS PAYMENT</w:t>
      </w:r>
      <w:r>
        <w:rPr>
          <w:rFonts w:ascii="Arial" w:hAnsi="Arial"/>
          <w:sz w:val="24"/>
        </w:rPr>
        <w:t>:</w:t>
      </w:r>
    </w:p>
    <w:p w14:paraId="481BF83F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/>
        <w:ind w:left="720" w:right="468" w:hanging="417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1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ab/>
        <w:t xml:space="preserve">The Loss Payee shown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is a creditor, including a mortgage holder or trustee, whose interest in "covered property" is established by such written instruments as:</w:t>
      </w:r>
    </w:p>
    <w:p w14:paraId="740F6F9C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743" w:right="468" w:hanging="1023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a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ab/>
        <w:t xml:space="preserve">Warehouse </w:t>
      </w:r>
      <w:proofErr w:type="gramStart"/>
      <w:r>
        <w:rPr>
          <w:rFonts w:ascii="Arial" w:hAnsi="Arial"/>
          <w:sz w:val="24"/>
        </w:rPr>
        <w:t>receipts;</w:t>
      </w:r>
      <w:proofErr w:type="gramEnd"/>
    </w:p>
    <w:p w14:paraId="0F39B500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743" w:right="468" w:hanging="1023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b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ab/>
        <w:t xml:space="preserve">A contract for </w:t>
      </w:r>
      <w:proofErr w:type="gramStart"/>
      <w:r>
        <w:rPr>
          <w:rFonts w:ascii="Arial" w:hAnsi="Arial"/>
          <w:sz w:val="24"/>
        </w:rPr>
        <w:t>deed;</w:t>
      </w:r>
      <w:proofErr w:type="gramEnd"/>
    </w:p>
    <w:p w14:paraId="33E18842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743" w:right="468" w:hanging="1023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c.</w:t>
      </w:r>
      <w:r>
        <w:rPr>
          <w:rFonts w:ascii="Arial" w:hAnsi="Arial"/>
          <w:sz w:val="24"/>
        </w:rPr>
        <w:tab/>
        <w:t xml:space="preserve">Bills of </w:t>
      </w:r>
      <w:proofErr w:type="gramStart"/>
      <w:r>
        <w:rPr>
          <w:rFonts w:ascii="Arial" w:hAnsi="Arial"/>
          <w:sz w:val="24"/>
        </w:rPr>
        <w:t>lading;</w:t>
      </w:r>
      <w:proofErr w:type="gramEnd"/>
    </w:p>
    <w:p w14:paraId="6E351BD9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743" w:right="468" w:hanging="1023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d.</w:t>
      </w:r>
      <w:r>
        <w:rPr>
          <w:rFonts w:ascii="Arial" w:hAnsi="Arial"/>
          <w:sz w:val="24"/>
        </w:rPr>
        <w:tab/>
        <w:t>Financing statements; or</w:t>
      </w:r>
    </w:p>
    <w:p w14:paraId="067A45CD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743" w:right="468" w:hanging="1023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e.</w:t>
      </w:r>
      <w:r>
        <w:rPr>
          <w:rFonts w:ascii="Arial" w:hAnsi="Arial"/>
          <w:sz w:val="24"/>
        </w:rPr>
        <w:tab/>
        <w:t>Mortgages, deeds of trust, or security agreements.</w:t>
      </w:r>
    </w:p>
    <w:p w14:paraId="1BD48797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/>
        <w:ind w:left="1023" w:right="468" w:hanging="72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2.</w:t>
      </w:r>
      <w:r>
        <w:rPr>
          <w:rFonts w:ascii="Arial" w:hAnsi="Arial"/>
          <w:sz w:val="24"/>
        </w:rPr>
        <w:tab/>
        <w:t>For "covered property" in which both you and a Loss Payee have an insurable interest:</w:t>
      </w:r>
    </w:p>
    <w:p w14:paraId="43627596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170"/>
          <w:tab w:val="left" w:pos="1260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080" w:right="468" w:hanging="36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a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ab/>
        <w:t>We will pay for covered loss or damage to each Loss Payee in their order of precedence as interests may appear.</w:t>
      </w:r>
    </w:p>
    <w:p w14:paraId="3345CB24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170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080" w:right="468" w:hanging="36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b.</w:t>
      </w:r>
      <w:r>
        <w:rPr>
          <w:rFonts w:ascii="Arial" w:hAnsi="Arial"/>
          <w:sz w:val="24"/>
        </w:rPr>
        <w:tab/>
        <w:t>The Loss Payee has the right to receive loss payment even if the Loss Payee has started foreclosure or similar action on the "covered property."</w:t>
      </w:r>
    </w:p>
    <w:p w14:paraId="178F0124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1170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/>
        <w:ind w:left="1080" w:right="468" w:hanging="36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c.</w:t>
      </w:r>
      <w:r>
        <w:rPr>
          <w:rFonts w:ascii="Arial" w:hAnsi="Arial"/>
          <w:sz w:val="24"/>
        </w:rPr>
        <w:tab/>
        <w:t xml:space="preserve">If we deny your claim because of your acts or because you have failed to comply with the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 xml:space="preserve">terms of the Coverage Part, the Loss Payee will still have the right to receive loss payment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if the Loss Payee:</w:t>
      </w:r>
    </w:p>
    <w:p w14:paraId="642B8C7B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206" w:lineRule="auto"/>
        <w:ind w:left="1530" w:right="468" w:hanging="45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(1)</w:t>
      </w:r>
      <w:r w:rsidRPr="00FA0FB7">
        <w:rPr>
          <w:rFonts w:ascii="Arial" w:hAnsi="Arial"/>
          <w:b/>
          <w:bCs/>
          <w:sz w:val="24"/>
        </w:rPr>
        <w:tab/>
      </w:r>
      <w:r>
        <w:rPr>
          <w:rFonts w:ascii="Arial" w:hAnsi="Arial"/>
          <w:sz w:val="24"/>
        </w:rPr>
        <w:t xml:space="preserve">Pays any premium due under this Coverage Part at our request if you have failed to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 xml:space="preserve">do </w:t>
      </w:r>
      <w:proofErr w:type="gramStart"/>
      <w:r>
        <w:rPr>
          <w:rFonts w:ascii="Arial" w:hAnsi="Arial"/>
          <w:sz w:val="24"/>
        </w:rPr>
        <w:t>so;</w:t>
      </w:r>
      <w:proofErr w:type="gramEnd"/>
    </w:p>
    <w:p w14:paraId="75B932AE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23"/>
          <w:tab w:val="left" w:pos="1530"/>
          <w:tab w:val="left" w:pos="174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206" w:lineRule="auto"/>
        <w:ind w:left="1530" w:right="468" w:hanging="45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(2)</w:t>
      </w:r>
      <w:r>
        <w:rPr>
          <w:rFonts w:ascii="Arial" w:hAnsi="Arial"/>
          <w:sz w:val="24"/>
        </w:rPr>
        <w:tab/>
        <w:t xml:space="preserve">Submits a signed, sworn proof of loss within 60 days after receiving notice from us of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your failure to do so; and</w:t>
      </w:r>
    </w:p>
    <w:p w14:paraId="5CDA41E8" w14:textId="77777777" w:rsidR="00831F25" w:rsidRDefault="00831F25" w:rsidP="00FA0FB7">
      <w:pPr>
        <w:ind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14:paraId="039F2137" w14:textId="77777777" w:rsidR="000B1E5F" w:rsidRDefault="000B1E5F" w:rsidP="00FA0FB7">
      <w:pPr>
        <w:tabs>
          <w:tab w:val="left" w:pos="-1137"/>
          <w:tab w:val="left" w:pos="-417"/>
          <w:tab w:val="left" w:pos="303"/>
          <w:tab w:val="left" w:pos="1023"/>
          <w:tab w:val="left" w:pos="1440"/>
          <w:tab w:val="left" w:pos="174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206" w:lineRule="auto"/>
        <w:ind w:left="1530" w:right="468" w:hanging="450"/>
        <w:jc w:val="both"/>
        <w:rPr>
          <w:rFonts w:ascii="Arial" w:hAnsi="Arial"/>
          <w:b/>
          <w:bCs/>
          <w:sz w:val="24"/>
        </w:rPr>
      </w:pPr>
    </w:p>
    <w:p w14:paraId="3C1F557F" w14:textId="2D67D690" w:rsidR="00FD2992" w:rsidRDefault="00FD2992" w:rsidP="00FA0FB7">
      <w:pPr>
        <w:tabs>
          <w:tab w:val="left" w:pos="-1137"/>
          <w:tab w:val="left" w:pos="-417"/>
          <w:tab w:val="left" w:pos="303"/>
          <w:tab w:val="left" w:pos="1023"/>
          <w:tab w:val="left" w:pos="1440"/>
          <w:tab w:val="left" w:pos="174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206" w:lineRule="auto"/>
        <w:ind w:left="1530" w:right="468" w:hanging="45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(3)</w:t>
      </w:r>
      <w:r w:rsidRPr="00FA0FB7">
        <w:rPr>
          <w:rFonts w:ascii="Arial" w:hAnsi="Arial"/>
          <w:b/>
          <w:bCs/>
          <w:sz w:val="24"/>
        </w:rPr>
        <w:tab/>
      </w:r>
      <w:r w:rsidR="00F756B2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Has notified us of any change in ownership, occupancy</w:t>
      </w:r>
      <w:r w:rsidR="00386481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or substantial change in risk known to the Loss Payee.</w:t>
      </w:r>
    </w:p>
    <w:p w14:paraId="191FB86A" w14:textId="77777777" w:rsidR="00FD2992" w:rsidRDefault="00FD2992" w:rsidP="00FA0FB7">
      <w:pPr>
        <w:tabs>
          <w:tab w:val="left" w:pos="1440"/>
        </w:tabs>
        <w:spacing w:before="80" w:line="206" w:lineRule="auto"/>
        <w:ind w:left="1620" w:right="468" w:hanging="450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All of</w:t>
      </w:r>
      <w:proofErr w:type="gramEnd"/>
      <w:r>
        <w:rPr>
          <w:rFonts w:ascii="Arial" w:hAnsi="Arial"/>
          <w:sz w:val="24"/>
        </w:rPr>
        <w:t xml:space="preserve"> the terms of this Coverage Part will then apply directly to the Loss Payee.</w:t>
      </w:r>
    </w:p>
    <w:p w14:paraId="70F274B9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80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1080" w:right="468" w:hanging="36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d.</w:t>
      </w:r>
      <w:r>
        <w:rPr>
          <w:rFonts w:ascii="Arial" w:hAnsi="Arial"/>
          <w:sz w:val="24"/>
        </w:rPr>
        <w:tab/>
        <w:t xml:space="preserve">If we pay the Loss Payee for any loss or damage and deny payment to you because of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your acts or because you have failed to comply with the terms of this Coverage Part:</w:t>
      </w:r>
    </w:p>
    <w:p w14:paraId="2074E295" w14:textId="77777777" w:rsidR="00FD2992" w:rsidRDefault="00FD2992" w:rsidP="00FA0FB7">
      <w:pPr>
        <w:pStyle w:val="BlockText"/>
        <w:tabs>
          <w:tab w:val="left" w:pos="2340"/>
        </w:tabs>
        <w:spacing w:before="80"/>
        <w:ind w:left="1530" w:right="468" w:hanging="45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(1)</w:t>
      </w:r>
      <w:r>
        <w:rPr>
          <w:rFonts w:ascii="Arial" w:hAnsi="Arial"/>
          <w:sz w:val="24"/>
        </w:rPr>
        <w:tab/>
        <w:t>The Loss Payee's rights will be transferred to us to the extent of the amount we pay; and</w:t>
      </w:r>
    </w:p>
    <w:p w14:paraId="3F252DE5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350"/>
          <w:tab w:val="left" w:pos="1530"/>
          <w:tab w:val="left" w:pos="1980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40" w:line="206" w:lineRule="auto"/>
        <w:ind w:left="1530" w:right="468" w:hanging="45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(2)</w:t>
      </w:r>
      <w:r>
        <w:rPr>
          <w:rFonts w:ascii="Arial" w:hAnsi="Arial"/>
          <w:sz w:val="24"/>
        </w:rPr>
        <w:tab/>
        <w:t>The Loss Payee's right to recover the full amount of the Loss Payee's claim will not be impaired.</w:t>
      </w:r>
    </w:p>
    <w:p w14:paraId="105E73C6" w14:textId="77777777" w:rsidR="00FD2992" w:rsidRDefault="00FD2992" w:rsidP="00FA0FB7">
      <w:pPr>
        <w:spacing w:before="80" w:line="206" w:lineRule="auto"/>
        <w:ind w:left="1170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At our option, we may pay to the Loss Payee the whole principal on the debt plus any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accrued interest.  In this event, you will pay your remaining debt to us.</w:t>
      </w:r>
    </w:p>
    <w:p w14:paraId="128C34A5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1023" w:right="468" w:hanging="72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3.</w:t>
      </w:r>
      <w:r>
        <w:rPr>
          <w:rFonts w:ascii="Arial" w:hAnsi="Arial"/>
          <w:sz w:val="24"/>
        </w:rPr>
        <w:tab/>
        <w:t>If we cancel this policy, we will give written notice to the Loss Payee at least:</w:t>
      </w:r>
    </w:p>
    <w:p w14:paraId="27CC5CE2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23"/>
          <w:tab w:val="left" w:pos="1350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40" w:line="206" w:lineRule="auto"/>
        <w:ind w:left="1080" w:right="468" w:hanging="36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a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ab/>
        <w:t xml:space="preserve">10 days before the effective date of cancellation if we cancel for your nonpayment of </w:t>
      </w:r>
      <w:r w:rsidR="00831F25">
        <w:rPr>
          <w:rFonts w:ascii="Arial" w:hAnsi="Arial"/>
          <w:sz w:val="24"/>
        </w:rPr>
        <w:br/>
      </w:r>
      <w:proofErr w:type="gramStart"/>
      <w:r>
        <w:rPr>
          <w:rFonts w:ascii="Arial" w:hAnsi="Arial"/>
          <w:sz w:val="24"/>
        </w:rPr>
        <w:t>premium;</w:t>
      </w:r>
      <w:proofErr w:type="gramEnd"/>
      <w:r>
        <w:rPr>
          <w:rFonts w:ascii="Arial" w:hAnsi="Arial"/>
          <w:sz w:val="24"/>
        </w:rPr>
        <w:t xml:space="preserve"> or</w:t>
      </w:r>
    </w:p>
    <w:p w14:paraId="661413C1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40" w:line="206" w:lineRule="auto"/>
        <w:ind w:left="1743" w:right="468" w:hanging="1023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b.</w:t>
      </w:r>
      <w:r>
        <w:rPr>
          <w:rFonts w:ascii="Arial" w:hAnsi="Arial"/>
          <w:sz w:val="24"/>
        </w:rPr>
        <w:tab/>
        <w:t>30 days before the effective date of cancellation if we cancel for any other reason.</w:t>
      </w:r>
    </w:p>
    <w:p w14:paraId="2B46C229" w14:textId="77777777" w:rsidR="00FD2992" w:rsidRDefault="00FD2992" w:rsidP="00FA0FB7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720" w:right="468" w:hanging="450"/>
        <w:jc w:val="both"/>
        <w:rPr>
          <w:rFonts w:ascii="Arial" w:hAnsi="Arial"/>
          <w:sz w:val="24"/>
        </w:rPr>
      </w:pPr>
      <w:r w:rsidRPr="00FA0FB7">
        <w:rPr>
          <w:rFonts w:ascii="Arial" w:hAnsi="Arial"/>
          <w:b/>
          <w:bCs/>
          <w:sz w:val="24"/>
        </w:rPr>
        <w:t>4.</w:t>
      </w:r>
      <w:r>
        <w:rPr>
          <w:rFonts w:ascii="Arial" w:hAnsi="Arial"/>
          <w:sz w:val="24"/>
        </w:rPr>
        <w:tab/>
        <w:t xml:space="preserve">If we elect not to renew this policy, we will give written notice to the Loss Payee at least 10 </w:t>
      </w:r>
      <w:r w:rsidR="00831F2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days before the expiration date of this policy.</w:t>
      </w:r>
    </w:p>
    <w:p w14:paraId="549359B6" w14:textId="77777777" w:rsidR="004235D9" w:rsidRDefault="004235D9" w:rsidP="00831F25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720" w:right="-57" w:hanging="450"/>
        <w:rPr>
          <w:rFonts w:ascii="Arial" w:hAnsi="Arial"/>
          <w:sz w:val="24"/>
        </w:rPr>
      </w:pPr>
    </w:p>
    <w:p w14:paraId="33E58B83" w14:textId="77777777" w:rsidR="004235D9" w:rsidRPr="00FA0FB7" w:rsidRDefault="004235D9" w:rsidP="00831F25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720" w:right="-57" w:hanging="450"/>
        <w:rPr>
          <w:rFonts w:ascii="Arial" w:hAnsi="Arial" w:cs="Arial"/>
          <w:sz w:val="24"/>
        </w:rPr>
      </w:pPr>
    </w:p>
    <w:p w14:paraId="0825E5C1" w14:textId="77777777" w:rsidR="004235D9" w:rsidRDefault="004235D9" w:rsidP="00E67DF3">
      <w:pPr>
        <w:pStyle w:val="BlockText"/>
        <w:ind w:left="270"/>
        <w:rPr>
          <w:rFonts w:ascii="Arial" w:hAnsi="Arial" w:cs="Arial"/>
          <w:sz w:val="24"/>
          <w:szCs w:val="24"/>
        </w:rPr>
      </w:pPr>
      <w:r w:rsidRPr="00FA0FB7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55301960" w14:textId="77777777" w:rsidR="00FA0FB7" w:rsidRDefault="00FA0FB7" w:rsidP="00FA0FB7">
      <w:pPr>
        <w:spacing w:after="80"/>
        <w:ind w:left="270" w:right="-58"/>
        <w:rPr>
          <w:rFonts w:ascii="Arial" w:hAnsi="Arial"/>
          <w:sz w:val="24"/>
        </w:rPr>
      </w:pPr>
    </w:p>
    <w:p w14:paraId="314A5A68" w14:textId="77777777" w:rsidR="00FA0FB7" w:rsidRDefault="00FA0FB7" w:rsidP="00FA0FB7">
      <w:pPr>
        <w:spacing w:after="80"/>
        <w:ind w:left="270" w:right="-58"/>
        <w:rPr>
          <w:rFonts w:ascii="Arial" w:hAnsi="Arial"/>
          <w:sz w:val="24"/>
        </w:rPr>
      </w:pPr>
    </w:p>
    <w:p w14:paraId="0C7B1C27" w14:textId="77777777" w:rsidR="00FA0FB7" w:rsidRDefault="00FA0FB7" w:rsidP="00FA0FB7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69F3CBDF" w14:textId="77777777" w:rsidR="00FA0FB7" w:rsidRPr="001D11E8" w:rsidRDefault="00FA0FB7" w:rsidP="00FA0FB7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4C2F3005" w14:textId="77777777" w:rsidR="00FA0FB7" w:rsidRPr="00FA0FB7" w:rsidRDefault="00FA0FB7" w:rsidP="00E67DF3">
      <w:pPr>
        <w:pStyle w:val="BlockText"/>
        <w:ind w:left="270"/>
        <w:rPr>
          <w:rFonts w:ascii="Arial" w:hAnsi="Arial" w:cs="Arial"/>
          <w:sz w:val="24"/>
          <w:szCs w:val="24"/>
        </w:rPr>
      </w:pPr>
    </w:p>
    <w:p w14:paraId="30EBC354" w14:textId="77777777" w:rsidR="004235D9" w:rsidRDefault="004235D9" w:rsidP="00831F25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720" w:right="-57" w:hanging="450"/>
        <w:rPr>
          <w:rFonts w:ascii="Arial" w:hAnsi="Arial"/>
          <w:sz w:val="24"/>
        </w:rPr>
      </w:pPr>
    </w:p>
    <w:sectPr w:rsidR="004235D9">
      <w:footerReference w:type="default" r:id="rId8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B25B" w14:textId="77777777" w:rsidR="004C39A8" w:rsidRDefault="004C39A8">
      <w:r>
        <w:separator/>
      </w:r>
    </w:p>
  </w:endnote>
  <w:endnote w:type="continuationSeparator" w:id="0">
    <w:p w14:paraId="37505367" w14:textId="77777777" w:rsidR="004C39A8" w:rsidRDefault="004C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7642" w14:textId="62810195" w:rsidR="00FD2992" w:rsidRDefault="00FD2992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FA0FB7">
      <w:rPr>
        <w:rFonts w:ascii="Arial" w:hAnsi="Arial"/>
        <w:sz w:val="18"/>
      </w:rPr>
      <w:t>.</w:t>
    </w:r>
  </w:p>
  <w:p w14:paraId="7482A3AE" w14:textId="0FA5B0EC" w:rsidR="00FD2992" w:rsidRPr="00FA0FB7" w:rsidRDefault="00FD2992">
    <w:pPr>
      <w:widowControl w:val="0"/>
      <w:tabs>
        <w:tab w:val="center" w:pos="5703"/>
      </w:tabs>
      <w:rPr>
        <w:rFonts w:ascii="Arial" w:hAnsi="Arial"/>
        <w:bCs/>
        <w:sz w:val="24"/>
      </w:rPr>
    </w:pPr>
    <w:r>
      <w:rPr>
        <w:rFonts w:ascii="Arial" w:hAnsi="Arial"/>
        <w:sz w:val="16"/>
      </w:rPr>
      <w:t xml:space="preserve">CAU </w:t>
    </w:r>
    <w:r w:rsidR="00FA0FB7" w:rsidRPr="00FA0FB7">
      <w:rPr>
        <w:rFonts w:ascii="Arial" w:hAnsi="Arial"/>
        <w:sz w:val="16"/>
      </w:rPr>
      <w:t>148288</w:t>
    </w:r>
    <w:r w:rsidR="00FA0FB7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FA0FB7">
      <w:rPr>
        <w:rFonts w:ascii="Arial" w:hAnsi="Arial"/>
        <w:sz w:val="16"/>
      </w:rPr>
      <w:tab/>
    </w:r>
    <w:r w:rsidR="00A14D5D">
      <w:rPr>
        <w:rFonts w:ascii="Arial" w:hAnsi="Arial"/>
        <w:sz w:val="16"/>
      </w:rPr>
      <w:t xml:space="preserve">Page </w:t>
    </w:r>
    <w:r w:rsidRPr="00FA0FB7">
      <w:rPr>
        <w:rFonts w:ascii="Arial" w:hAnsi="Arial"/>
        <w:bCs/>
        <w:sz w:val="16"/>
        <w:szCs w:val="16"/>
      </w:rPr>
      <w:fldChar w:fldCharType="begin"/>
    </w:r>
    <w:r w:rsidRPr="00FA0FB7">
      <w:rPr>
        <w:rFonts w:ascii="Arial" w:hAnsi="Arial"/>
        <w:bCs/>
        <w:sz w:val="16"/>
        <w:szCs w:val="16"/>
      </w:rPr>
      <w:instrText>PAGE</w:instrText>
    </w:r>
    <w:r w:rsidRPr="00FA0FB7">
      <w:rPr>
        <w:rFonts w:ascii="Arial" w:hAnsi="Arial"/>
        <w:bCs/>
        <w:sz w:val="16"/>
        <w:szCs w:val="16"/>
      </w:rPr>
      <w:fldChar w:fldCharType="separate"/>
    </w:r>
    <w:r w:rsidR="00BB6569" w:rsidRPr="00FA0FB7">
      <w:rPr>
        <w:rFonts w:ascii="Arial" w:hAnsi="Arial"/>
        <w:bCs/>
        <w:noProof/>
        <w:sz w:val="16"/>
        <w:szCs w:val="16"/>
      </w:rPr>
      <w:t>1</w:t>
    </w:r>
    <w:r w:rsidRPr="00FA0FB7">
      <w:rPr>
        <w:rFonts w:ascii="Arial" w:hAnsi="Arial"/>
        <w:bCs/>
        <w:sz w:val="16"/>
        <w:szCs w:val="16"/>
      </w:rPr>
      <w:fldChar w:fldCharType="end"/>
    </w:r>
    <w:r w:rsidRPr="00FA0FB7">
      <w:rPr>
        <w:rFonts w:ascii="Arial" w:hAnsi="Arial"/>
        <w:bCs/>
        <w:sz w:val="16"/>
        <w:szCs w:val="16"/>
      </w:rPr>
      <w:t xml:space="preserve"> of 2</w:t>
    </w:r>
  </w:p>
  <w:p w14:paraId="52CE4505" w14:textId="77777777" w:rsidR="00FD2992" w:rsidRPr="00FA0FB7" w:rsidRDefault="00FD2992">
    <w:pPr>
      <w:widowControl w:val="0"/>
      <w:rPr>
        <w:rFonts w:ascii="Arial" w:hAnsi="Arial"/>
        <w:bCs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396B" w14:textId="77777777" w:rsidR="004C39A8" w:rsidRDefault="004C39A8">
      <w:r>
        <w:separator/>
      </w:r>
    </w:p>
  </w:footnote>
  <w:footnote w:type="continuationSeparator" w:id="0">
    <w:p w14:paraId="3E6FD2A9" w14:textId="77777777" w:rsidR="004C39A8" w:rsidRDefault="004C3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EE20A92"/>
    <w:multiLevelType w:val="hybridMultilevel"/>
    <w:tmpl w:val="F3EA0600"/>
    <w:lvl w:ilvl="0" w:tplc="D22C5A2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576474735">
    <w:abstractNumId w:val="11"/>
  </w:num>
  <w:num w:numId="2" w16cid:durableId="517499289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892472256">
    <w:abstractNumId w:val="16"/>
  </w:num>
  <w:num w:numId="4" w16cid:durableId="1605108298">
    <w:abstractNumId w:val="13"/>
  </w:num>
  <w:num w:numId="5" w16cid:durableId="255526883">
    <w:abstractNumId w:val="10"/>
  </w:num>
  <w:num w:numId="6" w16cid:durableId="505289331">
    <w:abstractNumId w:val="0"/>
  </w:num>
  <w:num w:numId="7" w16cid:durableId="2130080294">
    <w:abstractNumId w:val="9"/>
  </w:num>
  <w:num w:numId="8" w16cid:durableId="1063335054">
    <w:abstractNumId w:val="19"/>
  </w:num>
  <w:num w:numId="9" w16cid:durableId="808589664">
    <w:abstractNumId w:val="3"/>
  </w:num>
  <w:num w:numId="10" w16cid:durableId="1717387611">
    <w:abstractNumId w:val="8"/>
  </w:num>
  <w:num w:numId="11" w16cid:durableId="2089693397">
    <w:abstractNumId w:val="7"/>
  </w:num>
  <w:num w:numId="12" w16cid:durableId="1147012394">
    <w:abstractNumId w:val="14"/>
  </w:num>
  <w:num w:numId="13" w16cid:durableId="897664300">
    <w:abstractNumId w:val="18"/>
  </w:num>
  <w:num w:numId="14" w16cid:durableId="832598822">
    <w:abstractNumId w:val="21"/>
  </w:num>
  <w:num w:numId="15" w16cid:durableId="663703850">
    <w:abstractNumId w:val="6"/>
  </w:num>
  <w:num w:numId="16" w16cid:durableId="1889299030">
    <w:abstractNumId w:val="20"/>
  </w:num>
  <w:num w:numId="17" w16cid:durableId="77480990">
    <w:abstractNumId w:val="1"/>
  </w:num>
  <w:num w:numId="18" w16cid:durableId="1634679265">
    <w:abstractNumId w:val="2"/>
  </w:num>
  <w:num w:numId="19" w16cid:durableId="813375233">
    <w:abstractNumId w:val="4"/>
  </w:num>
  <w:num w:numId="20" w16cid:durableId="1265578344">
    <w:abstractNumId w:val="17"/>
  </w:num>
  <w:num w:numId="21" w16cid:durableId="182868591">
    <w:abstractNumId w:val="12"/>
  </w:num>
  <w:num w:numId="22" w16cid:durableId="645284930">
    <w:abstractNumId w:val="15"/>
  </w:num>
  <w:num w:numId="23" w16cid:durableId="1879120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A31"/>
    <w:rsid w:val="00007ECB"/>
    <w:rsid w:val="000B1E5F"/>
    <w:rsid w:val="000D03BF"/>
    <w:rsid w:val="00161564"/>
    <w:rsid w:val="00190A31"/>
    <w:rsid w:val="002A328B"/>
    <w:rsid w:val="002B3B24"/>
    <w:rsid w:val="003140A0"/>
    <w:rsid w:val="00386481"/>
    <w:rsid w:val="004235D9"/>
    <w:rsid w:val="004C39A8"/>
    <w:rsid w:val="004E0FBC"/>
    <w:rsid w:val="0058288C"/>
    <w:rsid w:val="005C4689"/>
    <w:rsid w:val="006128A6"/>
    <w:rsid w:val="00685797"/>
    <w:rsid w:val="006A2299"/>
    <w:rsid w:val="0070625F"/>
    <w:rsid w:val="00831F25"/>
    <w:rsid w:val="009A474A"/>
    <w:rsid w:val="00A14D5D"/>
    <w:rsid w:val="00A60959"/>
    <w:rsid w:val="00BB6569"/>
    <w:rsid w:val="00BE0CEB"/>
    <w:rsid w:val="00E260EA"/>
    <w:rsid w:val="00E67DF3"/>
    <w:rsid w:val="00EC7A16"/>
    <w:rsid w:val="00F27971"/>
    <w:rsid w:val="00F756B2"/>
    <w:rsid w:val="00FA0FB7"/>
    <w:rsid w:val="00F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F72DF"/>
  <w15:chartTrackingRefBased/>
  <w15:docId w15:val="{5D370149-3043-49BD-99FE-AD9D1235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3864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6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423BC-B352-4D12-81C8-F161DDD9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499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2001-07-05T19:44:00Z</cp:lastPrinted>
  <dcterms:created xsi:type="dcterms:W3CDTF">2024-10-31T14:27:00Z</dcterms:created>
  <dcterms:modified xsi:type="dcterms:W3CDTF">2024-11-18T18:34:00Z</dcterms:modified>
</cp:coreProperties>
</file>